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FD6" w:rsidRDefault="00865FD6" w:rsidP="00865FD6">
      <w:pPr>
        <w:adjustRightInd w:val="0"/>
        <w:snapToGrid w:val="0"/>
        <w:spacing w:line="460" w:lineRule="atLeas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附件4：</w:t>
      </w:r>
    </w:p>
    <w:p w:rsidR="00865FD6" w:rsidRDefault="00865FD6" w:rsidP="00865FD6">
      <w:pPr>
        <w:spacing w:line="500" w:lineRule="exact"/>
        <w:ind w:firstLineChars="700" w:firstLine="2520"/>
        <w:rPr>
          <w:rFonts w:ascii="方正小标宋简体" w:eastAsia="方正小标宋简体" w:hAnsi="宋体"/>
          <w:color w:val="000000"/>
          <w:sz w:val="36"/>
          <w:szCs w:val="30"/>
        </w:rPr>
      </w:pPr>
      <w:r>
        <w:rPr>
          <w:rFonts w:ascii="方正小标宋简体" w:eastAsia="方正小标宋简体" w:hAnsi="宋体" w:hint="eastAsia"/>
          <w:color w:val="000000"/>
          <w:sz w:val="36"/>
          <w:szCs w:val="30"/>
        </w:rPr>
        <w:t>中国地质大学（北京）</w:t>
      </w:r>
    </w:p>
    <w:p w:rsidR="00865FD6" w:rsidRDefault="00865FD6" w:rsidP="00865FD6">
      <w:pPr>
        <w:spacing w:line="500" w:lineRule="exact"/>
        <w:jc w:val="center"/>
        <w:rPr>
          <w:rFonts w:ascii="方正小标宋简体" w:eastAsia="方正小标宋简体" w:hAnsi="宋体"/>
          <w:color w:val="000000"/>
          <w:sz w:val="36"/>
          <w:szCs w:val="30"/>
        </w:rPr>
      </w:pPr>
      <w:r>
        <w:rPr>
          <w:rFonts w:ascii="方正小标宋简体" w:eastAsia="方正小标宋简体" w:hAnsi="宋体" w:hint="eastAsia"/>
          <w:color w:val="000000"/>
          <w:sz w:val="36"/>
          <w:szCs w:val="30"/>
        </w:rPr>
        <w:t>关于招收非全日制硕士研究生的相关事宜</w:t>
      </w:r>
    </w:p>
    <w:p w:rsidR="00865FD6" w:rsidRDefault="00865FD6" w:rsidP="00865FD6">
      <w:pPr>
        <w:spacing w:line="59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</w:p>
    <w:p w:rsidR="00865FD6" w:rsidRPr="002E1304" w:rsidRDefault="00865FD6" w:rsidP="00865FD6">
      <w:pPr>
        <w:spacing w:line="59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根据《教育部办公厅关于统筹全日制和非全日制研究生管理工作的通知》（教研〔2016〕2号）文件精神，今年我校非全日制只招收定向生。</w:t>
      </w:r>
    </w:p>
    <w:p w:rsidR="00865FD6" w:rsidRPr="002E1304" w:rsidRDefault="00865FD6" w:rsidP="00865FD6">
      <w:pPr>
        <w:spacing w:line="59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非全日制研究生相关事宜如下：</w:t>
      </w:r>
    </w:p>
    <w:p w:rsidR="00865FD6" w:rsidRPr="002E1304" w:rsidRDefault="00865FD6" w:rsidP="00865FD6">
      <w:pPr>
        <w:spacing w:line="59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1、</w:t>
      </w:r>
      <w:r w:rsidRPr="002E1304">
        <w:rPr>
          <w:rFonts w:ascii="仿宋_GB2312" w:eastAsia="仿宋_GB2312" w:hAnsi="仿宋" w:hint="eastAsia"/>
          <w:b/>
          <w:color w:val="000000"/>
          <w:sz w:val="28"/>
          <w:szCs w:val="28"/>
        </w:rPr>
        <w:t>培养类型：</w:t>
      </w: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非全日制定向；</w:t>
      </w:r>
    </w:p>
    <w:p w:rsidR="00865FD6" w:rsidRPr="002E1304" w:rsidRDefault="00865FD6" w:rsidP="00865FD6">
      <w:pPr>
        <w:spacing w:line="59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2、</w:t>
      </w:r>
      <w:r w:rsidRPr="002E1304">
        <w:rPr>
          <w:rFonts w:ascii="仿宋_GB2312" w:eastAsia="仿宋_GB2312" w:hAnsi="仿宋" w:hint="eastAsia"/>
          <w:b/>
          <w:color w:val="000000"/>
          <w:sz w:val="28"/>
          <w:szCs w:val="28"/>
        </w:rPr>
        <w:t>学位类型：</w:t>
      </w: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专业学位硕士研究生；</w:t>
      </w:r>
    </w:p>
    <w:p w:rsidR="00865FD6" w:rsidRPr="002E1304" w:rsidRDefault="00865FD6" w:rsidP="00865FD6">
      <w:pPr>
        <w:spacing w:line="59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3、</w:t>
      </w:r>
      <w:r w:rsidRPr="002E1304">
        <w:rPr>
          <w:rFonts w:ascii="仿宋_GB2312" w:eastAsia="仿宋_GB2312" w:hAnsi="仿宋" w:hint="eastAsia"/>
          <w:b/>
          <w:color w:val="000000"/>
          <w:sz w:val="28"/>
          <w:szCs w:val="28"/>
        </w:rPr>
        <w:t>学制及学习年限：</w:t>
      </w: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学制3年，学习年限3-5年；</w:t>
      </w:r>
    </w:p>
    <w:p w:rsidR="00865FD6" w:rsidRPr="002E1304" w:rsidRDefault="00865FD6" w:rsidP="00865FD6">
      <w:pPr>
        <w:spacing w:line="590" w:lineRule="exact"/>
        <w:ind w:firstLineChars="200" w:firstLine="560"/>
        <w:rPr>
          <w:rFonts w:ascii="仿宋_GB2312" w:eastAsia="仿宋_GB2312" w:hAnsi="仿宋"/>
          <w:b/>
          <w:color w:val="000000"/>
          <w:sz w:val="28"/>
          <w:szCs w:val="28"/>
        </w:rPr>
      </w:pP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4、</w:t>
      </w:r>
      <w:r w:rsidRPr="002E1304">
        <w:rPr>
          <w:rFonts w:ascii="仿宋_GB2312" w:eastAsia="仿宋_GB2312" w:hAnsi="仿宋" w:hint="eastAsia"/>
          <w:b/>
          <w:color w:val="000000"/>
          <w:sz w:val="28"/>
          <w:szCs w:val="28"/>
        </w:rPr>
        <w:t>学费标准：</w:t>
      </w:r>
    </w:p>
    <w:tbl>
      <w:tblPr>
        <w:tblW w:w="5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469"/>
        <w:gridCol w:w="1946"/>
        <w:gridCol w:w="1676"/>
        <w:gridCol w:w="2381"/>
      </w:tblGrid>
      <w:tr w:rsidR="00865FD6" w:rsidRPr="002E1304" w:rsidTr="00346B49">
        <w:trPr>
          <w:trHeight w:val="369"/>
          <w:jc w:val="center"/>
        </w:trPr>
        <w:tc>
          <w:tcPr>
            <w:tcW w:w="78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b/>
                <w:color w:val="000000"/>
                <w:sz w:val="28"/>
                <w:szCs w:val="28"/>
              </w:rPr>
              <w:t>学习方式</w:t>
            </w:r>
          </w:p>
        </w:tc>
        <w:tc>
          <w:tcPr>
            <w:tcW w:w="828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b/>
                <w:color w:val="000000"/>
                <w:sz w:val="28"/>
                <w:szCs w:val="28"/>
              </w:rPr>
              <w:t>学位类别</w:t>
            </w: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b/>
                <w:color w:val="000000"/>
                <w:sz w:val="28"/>
                <w:szCs w:val="28"/>
              </w:rPr>
              <w:t>专业信息</w:t>
            </w:r>
          </w:p>
        </w:tc>
        <w:tc>
          <w:tcPr>
            <w:tcW w:w="13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b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b/>
                <w:color w:val="000000"/>
                <w:sz w:val="28"/>
                <w:szCs w:val="28"/>
              </w:rPr>
              <w:t>学费/元</w:t>
            </w:r>
            <w:r w:rsidRPr="002E1304">
              <w:rPr>
                <w:rFonts w:ascii="仿宋_GB2312" w:eastAsia="仿宋_GB2312" w:hAnsi="仿宋" w:cs="Times New Roman"/>
                <w:b/>
                <w:color w:val="000000"/>
                <w:sz w:val="28"/>
                <w:szCs w:val="28"/>
              </w:rPr>
              <w:t>/</w:t>
            </w:r>
            <w:r w:rsidRPr="002E1304">
              <w:rPr>
                <w:rFonts w:ascii="仿宋_GB2312" w:eastAsia="仿宋_GB2312" w:hAnsi="仿宋" w:cs="Times New Roman" w:hint="eastAsia"/>
                <w:b/>
                <w:color w:val="000000"/>
                <w:sz w:val="28"/>
                <w:szCs w:val="28"/>
              </w:rPr>
              <w:t>年</w:t>
            </w:r>
          </w:p>
        </w:tc>
      </w:tr>
      <w:tr w:rsidR="00865FD6" w:rsidRPr="002E1304" w:rsidTr="00346B49">
        <w:trPr>
          <w:trHeight w:val="728"/>
          <w:jc w:val="center"/>
        </w:trPr>
        <w:tc>
          <w:tcPr>
            <w:tcW w:w="788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 xml:space="preserve"> </w:t>
            </w: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非全日制</w:t>
            </w:r>
          </w:p>
        </w:tc>
        <w:tc>
          <w:tcPr>
            <w:tcW w:w="828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专业学位</w:t>
            </w: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MBA</w:t>
            </w:r>
          </w:p>
        </w:tc>
        <w:tc>
          <w:tcPr>
            <w:tcW w:w="13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30000</w:t>
            </w: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或</w:t>
            </w: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36000(</w:t>
            </w: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珠宝商务方向</w:t>
            </w: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金融</w:t>
            </w:r>
          </w:p>
        </w:tc>
        <w:tc>
          <w:tcPr>
            <w:tcW w:w="13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40000</w:t>
            </w: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会计</w:t>
            </w:r>
          </w:p>
        </w:tc>
        <w:tc>
          <w:tcPr>
            <w:tcW w:w="13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39000</w:t>
            </w: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公共管理</w:t>
            </w:r>
          </w:p>
        </w:tc>
        <w:tc>
          <w:tcPr>
            <w:tcW w:w="13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15000</w:t>
            </w: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法律（法学）</w:t>
            </w:r>
          </w:p>
        </w:tc>
        <w:tc>
          <w:tcPr>
            <w:tcW w:w="13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12000</w:t>
            </w: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应用统计</w:t>
            </w:r>
          </w:p>
        </w:tc>
        <w:tc>
          <w:tcPr>
            <w:tcW w:w="13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16000</w:t>
            </w: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体育</w:t>
            </w:r>
          </w:p>
        </w:tc>
        <w:tc>
          <w:tcPr>
            <w:tcW w:w="13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16000</w:t>
            </w: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vMerge w:val="restart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信息工程学院</w:t>
            </w:r>
          </w:p>
        </w:tc>
        <w:tc>
          <w:tcPr>
            <w:tcW w:w="945" w:type="pct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计算机技术</w:t>
            </w:r>
          </w:p>
        </w:tc>
        <w:tc>
          <w:tcPr>
            <w:tcW w:w="134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16000</w:t>
            </w: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vMerge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软件工程</w:t>
            </w:r>
          </w:p>
        </w:tc>
        <w:tc>
          <w:tcPr>
            <w:tcW w:w="13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865FD6" w:rsidRPr="002E1304" w:rsidTr="00346B49">
        <w:trPr>
          <w:trHeight w:val="233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1097" w:type="pct"/>
            <w:vMerge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945" w:type="pct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测绘工程</w:t>
            </w:r>
          </w:p>
        </w:tc>
        <w:tc>
          <w:tcPr>
            <w:tcW w:w="13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其余专业</w:t>
            </w:r>
          </w:p>
        </w:tc>
        <w:tc>
          <w:tcPr>
            <w:tcW w:w="1342" w:type="pc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8000</w:t>
            </w: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  <w:tc>
          <w:tcPr>
            <w:tcW w:w="828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学术学位</w:t>
            </w: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工商管理</w:t>
            </w:r>
          </w:p>
        </w:tc>
        <w:tc>
          <w:tcPr>
            <w:tcW w:w="1342" w:type="pct"/>
            <w:vMerge w:val="restart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  <w:t>25000</w:t>
            </w: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汉仪中等线简" w:eastAsia="汉仪中等线简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汉仪中等线简" w:eastAsia="汉仪中等线简" w:hAnsi="Times New Roman" w:cs="Times New Roman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公共管理</w:t>
            </w:r>
          </w:p>
        </w:tc>
        <w:tc>
          <w:tcPr>
            <w:tcW w:w="13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汉仪中等线简" w:eastAsia="汉仪中等线简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汉仪中等线简" w:eastAsia="汉仪中等线简" w:hAnsi="Times New Roman" w:cs="Times New Roman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马克思主义理论</w:t>
            </w:r>
          </w:p>
        </w:tc>
        <w:tc>
          <w:tcPr>
            <w:tcW w:w="13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汉仪中等线简" w:eastAsia="汉仪中等线简" w:hAnsi="Times New Roman" w:cs="Times New Roman"/>
                <w:sz w:val="28"/>
                <w:szCs w:val="28"/>
              </w:rPr>
            </w:pPr>
          </w:p>
        </w:tc>
      </w:tr>
      <w:tr w:rsidR="00865FD6" w:rsidRPr="002E1304" w:rsidTr="00346B49">
        <w:trPr>
          <w:trHeight w:val="369"/>
          <w:jc w:val="center"/>
        </w:trPr>
        <w:tc>
          <w:tcPr>
            <w:tcW w:w="78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汉仪中等线简" w:eastAsia="汉仪中等线简" w:hAnsi="Times New Roman" w:cs="Times New Roman"/>
                <w:sz w:val="28"/>
                <w:szCs w:val="28"/>
              </w:rPr>
            </w:pPr>
          </w:p>
        </w:tc>
        <w:tc>
          <w:tcPr>
            <w:tcW w:w="828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汉仪中等线简" w:eastAsia="汉仪中等线简" w:hAnsi="Times New Roman" w:cs="Times New Roman"/>
                <w:sz w:val="28"/>
                <w:szCs w:val="28"/>
              </w:rPr>
            </w:pPr>
          </w:p>
        </w:tc>
        <w:tc>
          <w:tcPr>
            <w:tcW w:w="2042" w:type="pct"/>
            <w:gridSpan w:val="2"/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仿宋_GB2312" w:eastAsia="仿宋_GB2312" w:hAnsi="仿宋" w:cs="Times New Roman"/>
                <w:color w:val="000000"/>
                <w:sz w:val="28"/>
                <w:szCs w:val="28"/>
              </w:rPr>
            </w:pPr>
            <w:r w:rsidRPr="002E1304">
              <w:rPr>
                <w:rFonts w:ascii="仿宋_GB2312" w:eastAsia="仿宋_GB2312" w:hAnsi="仿宋" w:cs="Times New Roman" w:hint="eastAsia"/>
                <w:color w:val="000000"/>
                <w:sz w:val="28"/>
                <w:szCs w:val="28"/>
              </w:rPr>
              <w:t>心理学</w:t>
            </w:r>
          </w:p>
        </w:tc>
        <w:tc>
          <w:tcPr>
            <w:tcW w:w="1342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865FD6" w:rsidRPr="002E1304" w:rsidRDefault="00865FD6" w:rsidP="00346B49">
            <w:pPr>
              <w:pStyle w:val="a3"/>
              <w:adjustRightInd w:val="0"/>
              <w:snapToGrid w:val="0"/>
              <w:jc w:val="center"/>
              <w:rPr>
                <w:rFonts w:ascii="汉仪中等线简" w:eastAsia="汉仪中等线简" w:hAnsi="Times New Roman" w:cs="Times New Roman"/>
                <w:sz w:val="28"/>
                <w:szCs w:val="28"/>
              </w:rPr>
            </w:pPr>
          </w:p>
        </w:tc>
      </w:tr>
    </w:tbl>
    <w:p w:rsidR="00865FD6" w:rsidRPr="002E1304" w:rsidRDefault="00865FD6" w:rsidP="00865FD6">
      <w:pPr>
        <w:spacing w:line="590" w:lineRule="exact"/>
        <w:ind w:firstLineChars="200" w:firstLine="560"/>
        <w:rPr>
          <w:rFonts w:ascii="仿宋_GB2312" w:eastAsia="仿宋_GB2312" w:hAnsi="仿宋"/>
          <w:color w:val="000000"/>
          <w:sz w:val="28"/>
          <w:szCs w:val="28"/>
        </w:rPr>
      </w:pP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5、</w:t>
      </w:r>
      <w:r w:rsidRPr="002E1304">
        <w:rPr>
          <w:rFonts w:ascii="仿宋_GB2312" w:eastAsia="仿宋_GB2312" w:hAnsi="仿宋" w:hint="eastAsia"/>
          <w:b/>
          <w:color w:val="000000"/>
          <w:sz w:val="28"/>
          <w:szCs w:val="28"/>
        </w:rPr>
        <w:t>住宿及待遇：</w:t>
      </w: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学校不解决非全日制研究生的住宿条件；在读</w:t>
      </w: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lastRenderedPageBreak/>
        <w:t>期间不享受国家助学金、国家奖学金、学业奖学金和各类津贴补贴，其他奖助政策依据学校相关规定执行。</w:t>
      </w:r>
    </w:p>
    <w:p w:rsidR="00865FD6" w:rsidRPr="002E1304" w:rsidRDefault="00865FD6" w:rsidP="00865FD6">
      <w:pPr>
        <w:spacing w:line="590" w:lineRule="exact"/>
        <w:ind w:firstLineChars="189" w:firstLine="529"/>
        <w:rPr>
          <w:rFonts w:ascii="仿宋_GB2312" w:eastAsia="仿宋_GB2312" w:hAnsi="仿宋"/>
          <w:color w:val="000000"/>
          <w:sz w:val="28"/>
          <w:szCs w:val="28"/>
        </w:rPr>
      </w:pP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6、</w:t>
      </w:r>
      <w:r w:rsidRPr="002E1304">
        <w:rPr>
          <w:rFonts w:ascii="仿宋_GB2312" w:eastAsia="仿宋_GB2312" w:hAnsi="仿宋" w:hint="eastAsia"/>
          <w:b/>
          <w:color w:val="000000"/>
          <w:sz w:val="28"/>
          <w:szCs w:val="28"/>
        </w:rPr>
        <w:t>户籍与档案管理：</w:t>
      </w: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学校不接受非全日制定向研究生的户籍及人事档案等材料。</w:t>
      </w:r>
    </w:p>
    <w:p w:rsidR="002B5F4E" w:rsidRDefault="00865FD6" w:rsidP="00865FD6"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7、</w:t>
      </w:r>
      <w:r w:rsidRPr="002E1304">
        <w:rPr>
          <w:rFonts w:ascii="仿宋_GB2312" w:eastAsia="仿宋_GB2312" w:hAnsi="仿宋" w:hint="eastAsia"/>
          <w:b/>
          <w:color w:val="000000"/>
          <w:sz w:val="28"/>
          <w:szCs w:val="28"/>
        </w:rPr>
        <w:t>毕业证书与学位证书：</w:t>
      </w:r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按规定完成学业，成绩合格，发放硕士研究生的学历证书（</w:t>
      </w:r>
      <w:proofErr w:type="gramStart"/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标注非</w:t>
      </w:r>
      <w:proofErr w:type="gramEnd"/>
      <w:r w:rsidRPr="002E1304">
        <w:rPr>
          <w:rFonts w:ascii="仿宋_GB2312" w:eastAsia="仿宋_GB2312" w:hAnsi="仿宋" w:hint="eastAsia"/>
          <w:color w:val="000000"/>
          <w:sz w:val="28"/>
          <w:szCs w:val="28"/>
        </w:rPr>
        <w:t>全日制学习方式）；学术水平达到相关要求，授予硕士专业学位。</w:t>
      </w:r>
      <w:bookmarkStart w:id="0" w:name="_GoBack"/>
      <w:bookmarkEnd w:id="0"/>
    </w:p>
    <w:sectPr w:rsidR="002B5F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等线简">
    <w:altName w:val="宋体"/>
    <w:charset w:val="86"/>
    <w:family w:val="modern"/>
    <w:pitch w:val="default"/>
    <w:sig w:usb0="00000000" w:usb1="000000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FD6"/>
    <w:rsid w:val="002B5F4E"/>
    <w:rsid w:val="008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59A5F2-798B-4259-9BFE-18DA863EA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F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65FD6"/>
    <w:rPr>
      <w:rFonts w:ascii="宋体" w:eastAsia="宋体" w:hAnsi="Courier New" w:cs="宋体"/>
      <w:szCs w:val="21"/>
    </w:rPr>
  </w:style>
  <w:style w:type="character" w:customStyle="1" w:styleId="Char">
    <w:name w:val="纯文本 Char"/>
    <w:basedOn w:val="a0"/>
    <w:link w:val="a3"/>
    <w:uiPriority w:val="99"/>
    <w:rsid w:val="00865FD6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2023-03-20T10:04:00Z</dcterms:created>
  <dcterms:modified xsi:type="dcterms:W3CDTF">2023-03-20T10:04:00Z</dcterms:modified>
</cp:coreProperties>
</file>